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0DB" w:rsidRDefault="00327F6D">
      <w:pPr>
        <w:spacing w:afterLines="50" w:after="156"/>
        <w:jc w:val="center"/>
        <w:rPr>
          <w:rFonts w:ascii="仿宋" w:eastAsia="仿宋" w:hAnsi="仿宋" w:cs="Times New Roman"/>
          <w:b/>
          <w:sz w:val="44"/>
          <w:szCs w:val="44"/>
        </w:rPr>
      </w:pPr>
      <w:r>
        <w:rPr>
          <w:rFonts w:ascii="仿宋" w:eastAsia="仿宋" w:hAnsi="仿宋" w:cs="Times New Roman" w:hint="eastAsia"/>
          <w:b/>
          <w:sz w:val="44"/>
          <w:szCs w:val="44"/>
        </w:rPr>
        <w:t xml:space="preserve">询 价 </w:t>
      </w:r>
      <w:r w:rsidR="00132C53">
        <w:rPr>
          <w:rFonts w:ascii="仿宋" w:eastAsia="仿宋" w:hAnsi="仿宋" w:cs="Times New Roman" w:hint="eastAsia"/>
          <w:b/>
          <w:sz w:val="44"/>
          <w:szCs w:val="44"/>
        </w:rPr>
        <w:t>文 件</w:t>
      </w:r>
    </w:p>
    <w:p w:rsidR="008930DB" w:rsidRDefault="00327F6D">
      <w:pPr>
        <w:spacing w:line="360" w:lineRule="auto"/>
        <w:rPr>
          <w:rFonts w:ascii="仿宋" w:eastAsia="仿宋" w:hAnsi="仿宋" w:cs="Times New Roman"/>
          <w:b/>
          <w:bCs/>
          <w:sz w:val="24"/>
          <w:szCs w:val="24"/>
        </w:rPr>
      </w:pPr>
      <w:r>
        <w:rPr>
          <w:rFonts w:ascii="仿宋" w:eastAsia="仿宋" w:hAnsi="仿宋" w:cs="Times New Roman" w:hint="eastAsia"/>
          <w:b/>
          <w:bCs/>
          <w:sz w:val="24"/>
          <w:szCs w:val="24"/>
        </w:rPr>
        <w:t>各潜在供应商：</w:t>
      </w:r>
    </w:p>
    <w:p w:rsidR="008930DB" w:rsidRDefault="00327F6D">
      <w:pPr>
        <w:spacing w:line="360" w:lineRule="auto"/>
        <w:ind w:firstLineChars="200" w:firstLine="480"/>
        <w:rPr>
          <w:rFonts w:ascii="仿宋" w:eastAsia="仿宋" w:hAnsi="仿宋" w:cs="Times New Roman"/>
          <w:b/>
          <w:bCs/>
          <w:sz w:val="24"/>
          <w:szCs w:val="24"/>
        </w:rPr>
      </w:pPr>
      <w:r>
        <w:rPr>
          <w:rFonts w:ascii="仿宋" w:eastAsia="仿宋" w:hAnsi="仿宋" w:cs="Times New Roman" w:hint="eastAsia"/>
          <w:sz w:val="24"/>
          <w:szCs w:val="24"/>
        </w:rPr>
        <w:t>根据我院需求，需采购一批地质灾害专群结合监测预警实验项目土建及安装所需辅材。经调研，贵单位具有提供相关技术服务的资质和能力，特向贵单位进行询价，具体要求如下：</w:t>
      </w:r>
    </w:p>
    <w:p w:rsidR="008930DB" w:rsidRDefault="00327F6D">
      <w:pPr>
        <w:pStyle w:val="ab"/>
        <w:numPr>
          <w:ilvl w:val="0"/>
          <w:numId w:val="1"/>
        </w:numPr>
        <w:spacing w:line="360" w:lineRule="auto"/>
        <w:ind w:firstLineChars="0"/>
        <w:rPr>
          <w:rFonts w:ascii="仿宋" w:eastAsia="仿宋" w:hAnsi="仿宋" w:cs="Times New Roman"/>
          <w:b/>
          <w:bCs/>
          <w:sz w:val="24"/>
          <w:szCs w:val="24"/>
        </w:rPr>
      </w:pPr>
      <w:r>
        <w:rPr>
          <w:rFonts w:ascii="仿宋" w:eastAsia="仿宋" w:hAnsi="仿宋" w:hint="eastAsia"/>
          <w:b/>
          <w:color w:val="000000"/>
          <w:sz w:val="24"/>
        </w:rPr>
        <w:t>监测工作基本情况概述</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1．监测内容</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本项目位于长寿区，共涉及215个地质灾害隐患点安装5大类共1266台地质灾害监测设备。其中，需要配套辅材的有：GNSS监测点共412台、地表裂缝监测仪286台，地表倾斜监测仪165台。GNSS监测点所需辅材有：3m立杆（立杆喷字）、太阳能板支架、配电箱、基础钢筋笼。小型化设备所需辅材为1m立杆。</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2．采购辅材型号及参数依据</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（1）《地质灾害专群结合监测预警技术指南（试行）》（自然资源部）</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（2）《重庆市地质灾害群测群防智能化监测预警技术要求（试行）》（重庆市规划和自然资源局）</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（3）《重庆市地质灾害群测群防智能化监测预警项目工程建设技术要求》（渝规资〔2020〕36号）</w:t>
      </w:r>
    </w:p>
    <w:p w:rsidR="008930DB" w:rsidRDefault="00327F6D">
      <w:pPr>
        <w:snapToGrid w:val="0"/>
        <w:spacing w:line="360" w:lineRule="auto"/>
        <w:ind w:firstLineChars="200" w:firstLine="480"/>
        <w:rPr>
          <w:rFonts w:ascii="仿宋" w:eastAsia="仿宋" w:hAnsi="仿宋"/>
          <w:color w:val="000000"/>
          <w:sz w:val="24"/>
          <w:szCs w:val="24"/>
        </w:rPr>
      </w:pPr>
      <w:r>
        <w:rPr>
          <w:rFonts w:ascii="仿宋" w:eastAsia="仿宋" w:hAnsi="仿宋" w:hint="eastAsia"/>
          <w:color w:val="000000"/>
          <w:sz w:val="24"/>
          <w:szCs w:val="24"/>
        </w:rPr>
        <w:t>（4）自然资源部、重庆市规划、自然资源局等主管部门以及我院的其他文件及要求。</w:t>
      </w:r>
    </w:p>
    <w:p w:rsidR="008930DB" w:rsidRDefault="00327F6D">
      <w:pPr>
        <w:snapToGrid w:val="0"/>
        <w:spacing w:line="360" w:lineRule="auto"/>
        <w:ind w:firstLineChars="200" w:firstLine="482"/>
        <w:rPr>
          <w:rFonts w:ascii="仿宋" w:eastAsia="仿宋" w:hAnsi="仿宋"/>
          <w:b/>
          <w:color w:val="000000"/>
          <w:sz w:val="24"/>
          <w:szCs w:val="24"/>
        </w:rPr>
      </w:pPr>
      <w:r>
        <w:rPr>
          <w:rFonts w:ascii="仿宋" w:eastAsia="仿宋" w:hAnsi="仿宋" w:hint="eastAsia"/>
          <w:b/>
          <w:color w:val="000000"/>
          <w:sz w:val="24"/>
          <w:szCs w:val="24"/>
        </w:rPr>
        <w:t>二、辅材型号、规格及参数要求</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t>1、普适型GNSS监测点施工安装技术要求</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t>（1）普适型GNSS监测点采用立杆形式，立杆高度3m，立杆直径规格采用φ114mm×4mm，镀锌管，白色漆（烤漆）；</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t>（2）基座浇筑所用混凝土标准抗压强度等级为C25，本工程基础尺寸为1.0m×1.0m×1.0m。钢筋笼长80cm，预埋约70cm,留长8~10cm螺牙,4-M18地脚螺栓。底部法兰尺寸40×40cm，厚12mm,斜撑高15cm。</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t>（</w:t>
      </w:r>
      <w:r w:rsidR="00501477">
        <w:rPr>
          <w:rFonts w:ascii="仿宋" w:eastAsia="仿宋" w:hAnsi="仿宋" w:cs="微软雅黑" w:hint="eastAsia"/>
          <w:color w:val="000000"/>
          <w:kern w:val="0"/>
          <w:sz w:val="24"/>
          <w:szCs w:val="24"/>
        </w:rPr>
        <w:t>3</w:t>
      </w:r>
      <w:r>
        <w:rPr>
          <w:rFonts w:ascii="仿宋" w:eastAsia="仿宋" w:hAnsi="仿宋" w:cs="微软雅黑" w:hint="eastAsia"/>
          <w:color w:val="000000"/>
          <w:kern w:val="0"/>
          <w:sz w:val="24"/>
          <w:szCs w:val="24"/>
        </w:rPr>
        <w:t>）配电箱：监测设备主要部件（GNSS接收机、供电系统控制器以及MEMS模组）应装入配电箱并上锁，设备上不得设置简易爬杆脚蹬。</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lastRenderedPageBreak/>
        <w:t>（</w:t>
      </w:r>
      <w:r w:rsidR="00501477">
        <w:rPr>
          <w:rFonts w:ascii="仿宋" w:eastAsia="仿宋" w:hAnsi="仿宋" w:cs="微软雅黑" w:hint="eastAsia"/>
          <w:color w:val="000000"/>
          <w:kern w:val="0"/>
          <w:sz w:val="24"/>
          <w:szCs w:val="24"/>
        </w:rPr>
        <w:t>4</w:t>
      </w:r>
      <w:r>
        <w:rPr>
          <w:rFonts w:ascii="仿宋" w:eastAsia="仿宋" w:hAnsi="仿宋" w:cs="微软雅黑" w:hint="eastAsia"/>
          <w:color w:val="000000"/>
          <w:kern w:val="0"/>
          <w:sz w:val="24"/>
          <w:szCs w:val="24"/>
        </w:rPr>
        <w:t>）在支架顶部装避雷针，避雷针长度100cm，不锈钢材质，同时装避雷针地线，并将避雷针与地线用专用导线连接，导线用10平线，与避雷针连接处安装绝缘纸。</w:t>
      </w:r>
    </w:p>
    <w:p w:rsidR="008930DB" w:rsidRDefault="00327F6D">
      <w:pPr>
        <w:snapToGrid w:val="0"/>
        <w:spacing w:line="360" w:lineRule="auto"/>
        <w:ind w:firstLineChars="200" w:firstLine="480"/>
        <w:rPr>
          <w:rFonts w:ascii="仿宋" w:eastAsia="仿宋" w:hAnsi="仿宋" w:cs="微软雅黑"/>
          <w:color w:val="000000"/>
          <w:kern w:val="0"/>
          <w:sz w:val="24"/>
          <w:szCs w:val="24"/>
        </w:rPr>
      </w:pPr>
      <w:r>
        <w:rPr>
          <w:rFonts w:ascii="仿宋" w:eastAsia="仿宋" w:hAnsi="仿宋" w:cs="微软雅黑" w:hint="eastAsia"/>
          <w:color w:val="000000"/>
          <w:kern w:val="0"/>
          <w:sz w:val="24"/>
          <w:szCs w:val="24"/>
        </w:rPr>
        <w:t>（</w:t>
      </w:r>
      <w:r w:rsidR="00501477">
        <w:rPr>
          <w:rFonts w:ascii="仿宋" w:eastAsia="仿宋" w:hAnsi="仿宋" w:cs="微软雅黑" w:hint="eastAsia"/>
          <w:color w:val="000000"/>
          <w:kern w:val="0"/>
          <w:sz w:val="24"/>
          <w:szCs w:val="24"/>
        </w:rPr>
        <w:t>5</w:t>
      </w:r>
      <w:r>
        <w:rPr>
          <w:rFonts w:ascii="仿宋" w:eastAsia="仿宋" w:hAnsi="仿宋" w:cs="微软雅黑" w:hint="eastAsia"/>
          <w:color w:val="000000"/>
          <w:kern w:val="0"/>
          <w:sz w:val="24"/>
          <w:szCs w:val="24"/>
        </w:rPr>
        <w:t>）供电系统：150W太阳能板1块，100 Ah电池一块，支架角度35度，抱箍采用U形抱箍，与114mm立杆匹配。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841"/>
        <w:gridCol w:w="1424"/>
        <w:gridCol w:w="1686"/>
        <w:gridCol w:w="1687"/>
      </w:tblGrid>
      <w:tr w:rsidR="00501477" w:rsidTr="00501477">
        <w:trPr>
          <w:trHeight w:val="283"/>
        </w:trPr>
        <w:tc>
          <w:tcPr>
            <w:tcW w:w="5000" w:type="pct"/>
            <w:gridSpan w:val="5"/>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GNSS监测设备辅材参数</w:t>
            </w:r>
          </w:p>
        </w:tc>
      </w:tr>
      <w:tr w:rsidR="00501477" w:rsidTr="00501477">
        <w:trPr>
          <w:trHeight w:val="283"/>
        </w:trPr>
        <w:tc>
          <w:tcPr>
            <w:tcW w:w="519" w:type="pct"/>
            <w:vMerge w:val="restart"/>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4481" w:type="pct"/>
            <w:gridSpan w:val="4"/>
            <w:shd w:val="clear" w:color="auto" w:fill="auto"/>
            <w:noWrap/>
            <w:vAlign w:val="center"/>
          </w:tcPr>
          <w:p w:rsidR="00501477" w:rsidRPr="00C515F1" w:rsidRDefault="00501477">
            <w:pPr>
              <w:widowControl/>
              <w:spacing w:line="24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立杆</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直径（mm）×壁厚(mm)</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高度（m）</w:t>
            </w:r>
          </w:p>
        </w:tc>
        <w:tc>
          <w:tcPr>
            <w:tcW w:w="989" w:type="pct"/>
            <w:shd w:val="clear" w:color="auto" w:fill="auto"/>
            <w:noWrap/>
            <w:vAlign w:val="center"/>
          </w:tcPr>
          <w:p w:rsidR="00501477" w:rsidRDefault="00501477">
            <w:pPr>
              <w:widowControl/>
              <w:spacing w:line="240" w:lineRule="exact"/>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材质</w:t>
            </w:r>
          </w:p>
        </w:tc>
        <w:tc>
          <w:tcPr>
            <w:tcW w:w="990" w:type="pct"/>
            <w:shd w:val="clear" w:color="auto" w:fill="auto"/>
            <w:noWrap/>
            <w:vAlign w:val="center"/>
          </w:tcPr>
          <w:p w:rsidR="00501477" w:rsidRDefault="00501477">
            <w:pPr>
              <w:widowControl/>
              <w:spacing w:line="240" w:lineRule="exact"/>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法兰</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114×4</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3</w:t>
            </w:r>
          </w:p>
        </w:tc>
        <w:tc>
          <w:tcPr>
            <w:tcW w:w="989"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镀锌管</w:t>
            </w:r>
          </w:p>
        </w:tc>
        <w:tc>
          <w:tcPr>
            <w:tcW w:w="990"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40×40cm,厚10mm,斜撑高30cm*底10cm,上6cm(梯形)</w:t>
            </w:r>
          </w:p>
        </w:tc>
      </w:tr>
      <w:tr w:rsidR="00501477" w:rsidTr="00501477">
        <w:trPr>
          <w:trHeight w:val="283"/>
        </w:trPr>
        <w:tc>
          <w:tcPr>
            <w:tcW w:w="519" w:type="pct"/>
            <w:vMerge w:val="restart"/>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4481" w:type="pct"/>
            <w:gridSpan w:val="4"/>
            <w:shd w:val="clear" w:color="auto" w:fill="auto"/>
            <w:noWrap/>
            <w:vAlign w:val="center"/>
          </w:tcPr>
          <w:p w:rsidR="00501477" w:rsidRPr="00C515F1" w:rsidRDefault="00501477">
            <w:pPr>
              <w:widowControl/>
              <w:spacing w:line="24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基础-钢筋笼</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rPr>
            </w:pPr>
            <w:r>
              <w:rPr>
                <w:rFonts w:ascii="仿宋" w:eastAsia="仿宋" w:hAnsi="仿宋" w:cs="仿宋" w:hint="eastAsia"/>
              </w:rPr>
              <w:t>基础：1米×1米×1米；</w:t>
            </w:r>
          </w:p>
          <w:p w:rsidR="00501477" w:rsidRDefault="00501477">
            <w:pPr>
              <w:pStyle w:val="a0"/>
              <w:spacing w:line="240" w:lineRule="exact"/>
              <w:ind w:firstLine="0"/>
              <w:rPr>
                <w:rFonts w:ascii="仿宋" w:eastAsia="仿宋" w:hAnsi="仿宋" w:cs="仿宋"/>
              </w:rPr>
            </w:pPr>
            <w:r>
              <w:rPr>
                <w:rFonts w:ascii="仿宋" w:eastAsia="仿宋" w:hAnsi="仿宋" w:cs="仿宋" w:hint="eastAsia"/>
              </w:rPr>
              <w:t>钢筋笼：300mm*300mm*700mm</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C25</w:t>
            </w:r>
          </w:p>
        </w:tc>
        <w:tc>
          <w:tcPr>
            <w:tcW w:w="989"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地笼深度80cm，预埋约70cm,留长8~10cm螺牙,4×M18地脚螺栓。</w:t>
            </w:r>
          </w:p>
        </w:tc>
        <w:tc>
          <w:tcPr>
            <w:tcW w:w="990"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预埋避雷针导线</w:t>
            </w:r>
          </w:p>
        </w:tc>
      </w:tr>
      <w:tr w:rsidR="00501477" w:rsidTr="00501477">
        <w:trPr>
          <w:trHeight w:val="283"/>
        </w:trPr>
        <w:tc>
          <w:tcPr>
            <w:tcW w:w="519" w:type="pct"/>
            <w:vMerge w:val="restart"/>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3</w:t>
            </w:r>
          </w:p>
        </w:tc>
        <w:tc>
          <w:tcPr>
            <w:tcW w:w="4481" w:type="pct"/>
            <w:gridSpan w:val="4"/>
            <w:shd w:val="clear" w:color="auto" w:fill="auto"/>
            <w:noWrap/>
            <w:vAlign w:val="center"/>
          </w:tcPr>
          <w:p w:rsidR="00501477" w:rsidRPr="00C515F1" w:rsidRDefault="00501477">
            <w:pPr>
              <w:widowControl/>
              <w:spacing w:line="24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供电系统</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太阳能板</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电池</w:t>
            </w:r>
          </w:p>
        </w:tc>
        <w:tc>
          <w:tcPr>
            <w:tcW w:w="989"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支架</w:t>
            </w:r>
          </w:p>
        </w:tc>
        <w:tc>
          <w:tcPr>
            <w:tcW w:w="990"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抱箍</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150W 1块</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100 a*h一块</w:t>
            </w:r>
          </w:p>
        </w:tc>
        <w:tc>
          <w:tcPr>
            <w:tcW w:w="989"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角度35度</w:t>
            </w:r>
          </w:p>
        </w:tc>
        <w:tc>
          <w:tcPr>
            <w:tcW w:w="990"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匹配立杆直径</w:t>
            </w:r>
          </w:p>
        </w:tc>
      </w:tr>
      <w:tr w:rsidR="00501477" w:rsidTr="00501477">
        <w:trPr>
          <w:trHeight w:val="283"/>
        </w:trPr>
        <w:tc>
          <w:tcPr>
            <w:tcW w:w="519" w:type="pct"/>
            <w:vMerge w:val="restart"/>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4</w:t>
            </w:r>
          </w:p>
        </w:tc>
        <w:tc>
          <w:tcPr>
            <w:tcW w:w="4481" w:type="pct"/>
            <w:gridSpan w:val="4"/>
            <w:shd w:val="clear" w:color="auto" w:fill="auto"/>
            <w:noWrap/>
            <w:vAlign w:val="center"/>
          </w:tcPr>
          <w:p w:rsidR="00501477" w:rsidRPr="00C515F1" w:rsidRDefault="00501477">
            <w:pPr>
              <w:widowControl/>
              <w:spacing w:line="24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避雷针</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长</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直径</w:t>
            </w:r>
          </w:p>
        </w:tc>
        <w:tc>
          <w:tcPr>
            <w:tcW w:w="989"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材质</w:t>
            </w:r>
          </w:p>
        </w:tc>
        <w:tc>
          <w:tcPr>
            <w:tcW w:w="990"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专用导线</w:t>
            </w:r>
          </w:p>
        </w:tc>
      </w:tr>
      <w:tr w:rsidR="00501477" w:rsidTr="00501477">
        <w:trPr>
          <w:trHeight w:val="283"/>
        </w:trPr>
        <w:tc>
          <w:tcPr>
            <w:tcW w:w="519" w:type="pct"/>
            <w:vMerge/>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1.0米</w:t>
            </w:r>
          </w:p>
        </w:tc>
        <w:tc>
          <w:tcPr>
            <w:tcW w:w="835"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10mm</w:t>
            </w:r>
          </w:p>
        </w:tc>
        <w:tc>
          <w:tcPr>
            <w:tcW w:w="989"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不锈钢</w:t>
            </w:r>
          </w:p>
        </w:tc>
        <w:tc>
          <w:tcPr>
            <w:tcW w:w="990"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10平线，与避雷针连接处安装绝缘子</w:t>
            </w:r>
          </w:p>
        </w:tc>
      </w:tr>
      <w:tr w:rsidR="00501477" w:rsidTr="00501477">
        <w:trPr>
          <w:trHeight w:val="283"/>
        </w:trPr>
        <w:tc>
          <w:tcPr>
            <w:tcW w:w="519" w:type="pct"/>
            <w:vMerge w:val="restart"/>
            <w:vAlign w:val="center"/>
          </w:tcPr>
          <w:p w:rsidR="00501477" w:rsidRDefault="00501477" w:rsidP="00501477">
            <w:pPr>
              <w:widowControl/>
              <w:spacing w:line="24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5</w:t>
            </w:r>
          </w:p>
        </w:tc>
        <w:tc>
          <w:tcPr>
            <w:tcW w:w="4481" w:type="pct"/>
            <w:gridSpan w:val="4"/>
            <w:shd w:val="clear" w:color="auto" w:fill="auto"/>
            <w:noWrap/>
            <w:vAlign w:val="center"/>
          </w:tcPr>
          <w:p w:rsidR="00501477" w:rsidRPr="00C515F1" w:rsidRDefault="00501477">
            <w:pPr>
              <w:widowControl/>
              <w:spacing w:line="24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安装细节</w:t>
            </w:r>
          </w:p>
        </w:tc>
      </w:tr>
      <w:tr w:rsidR="00501477" w:rsidTr="00501477">
        <w:trPr>
          <w:trHeight w:val="283"/>
        </w:trPr>
        <w:tc>
          <w:tcPr>
            <w:tcW w:w="519" w:type="pct"/>
            <w:vMerge/>
          </w:tcPr>
          <w:p w:rsidR="00501477" w:rsidRDefault="00501477">
            <w:pPr>
              <w:widowControl/>
              <w:spacing w:line="240" w:lineRule="exact"/>
              <w:jc w:val="center"/>
              <w:textAlignment w:val="center"/>
              <w:rPr>
                <w:rFonts w:ascii="仿宋" w:eastAsia="仿宋" w:hAnsi="仿宋" w:cs="仿宋"/>
                <w:color w:val="000000"/>
                <w:kern w:val="0"/>
                <w:szCs w:val="21"/>
                <w:lang w:bidi="ar"/>
              </w:rPr>
            </w:pPr>
          </w:p>
        </w:tc>
        <w:tc>
          <w:tcPr>
            <w:tcW w:w="1667" w:type="pct"/>
            <w:shd w:val="clear" w:color="auto" w:fill="auto"/>
            <w:noWrap/>
            <w:vAlign w:val="center"/>
          </w:tcPr>
          <w:p w:rsidR="00501477" w:rsidRDefault="00501477">
            <w:pPr>
              <w:widowControl/>
              <w:spacing w:line="24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配电箱</w:t>
            </w:r>
          </w:p>
        </w:tc>
        <w:tc>
          <w:tcPr>
            <w:tcW w:w="835" w:type="pct"/>
            <w:shd w:val="clear" w:color="auto" w:fill="auto"/>
            <w:noWrap/>
            <w:vAlign w:val="center"/>
          </w:tcPr>
          <w:p w:rsidR="00501477" w:rsidRDefault="00501477">
            <w:pPr>
              <w:widowControl/>
              <w:spacing w:line="240" w:lineRule="exact"/>
              <w:jc w:val="lef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太阳能朝向</w:t>
            </w:r>
          </w:p>
        </w:tc>
        <w:tc>
          <w:tcPr>
            <w:tcW w:w="989" w:type="pct"/>
            <w:shd w:val="clear" w:color="auto" w:fill="auto"/>
            <w:noWrap/>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配电箱安装高度</w:t>
            </w:r>
          </w:p>
        </w:tc>
        <w:tc>
          <w:tcPr>
            <w:tcW w:w="990" w:type="pct"/>
            <w:shd w:val="clear" w:color="auto" w:fill="auto"/>
            <w:noWrap/>
            <w:vAlign w:val="center"/>
          </w:tcPr>
          <w:p w:rsidR="00501477" w:rsidRDefault="00501477">
            <w:pPr>
              <w:spacing w:line="240" w:lineRule="exact"/>
              <w:rPr>
                <w:rFonts w:ascii="仿宋" w:eastAsia="仿宋" w:hAnsi="仿宋" w:cs="仿宋"/>
                <w:color w:val="000000"/>
                <w:szCs w:val="21"/>
              </w:rPr>
            </w:pPr>
          </w:p>
        </w:tc>
      </w:tr>
      <w:tr w:rsidR="00501477" w:rsidTr="00501477">
        <w:trPr>
          <w:trHeight w:val="283"/>
        </w:trPr>
        <w:tc>
          <w:tcPr>
            <w:tcW w:w="519" w:type="pct"/>
            <w:vMerge/>
          </w:tcPr>
          <w:p w:rsidR="00501477" w:rsidRDefault="00501477">
            <w:pPr>
              <w:widowControl/>
              <w:spacing w:line="240" w:lineRule="exact"/>
              <w:textAlignment w:val="center"/>
              <w:rPr>
                <w:rFonts w:ascii="仿宋" w:eastAsia="仿宋" w:hAnsi="仿宋" w:cs="仿宋"/>
                <w:color w:val="000000"/>
                <w:szCs w:val="21"/>
              </w:rPr>
            </w:pPr>
          </w:p>
        </w:tc>
        <w:tc>
          <w:tcPr>
            <w:tcW w:w="1667"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szCs w:val="21"/>
              </w:rPr>
              <w:t>配电箱，容纳电池尺寸（长×宽×高）：407mm×174mm×209mm；同时容纳GNSS接收机、供电系统控制器以及MEMS模组。</w:t>
            </w:r>
          </w:p>
        </w:tc>
        <w:tc>
          <w:tcPr>
            <w:tcW w:w="835"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太阳能板朝南</w:t>
            </w:r>
          </w:p>
        </w:tc>
        <w:tc>
          <w:tcPr>
            <w:tcW w:w="989" w:type="pct"/>
            <w:shd w:val="clear" w:color="auto" w:fill="auto"/>
            <w:vAlign w:val="center"/>
          </w:tcPr>
          <w:p w:rsidR="00501477" w:rsidRDefault="00501477">
            <w:pPr>
              <w:widowControl/>
              <w:spacing w:line="24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配电箱安装高度1.8~1.9m，开孔位置统一1.8m。</w:t>
            </w:r>
          </w:p>
        </w:tc>
        <w:tc>
          <w:tcPr>
            <w:tcW w:w="990" w:type="pct"/>
            <w:shd w:val="clear" w:color="auto" w:fill="auto"/>
            <w:noWrap/>
            <w:vAlign w:val="center"/>
          </w:tcPr>
          <w:p w:rsidR="00501477" w:rsidRDefault="00501477">
            <w:pPr>
              <w:spacing w:line="240" w:lineRule="exact"/>
              <w:rPr>
                <w:rFonts w:ascii="仿宋" w:eastAsia="仿宋" w:hAnsi="仿宋" w:cs="仿宋"/>
                <w:color w:val="000000"/>
                <w:szCs w:val="21"/>
              </w:rPr>
            </w:pPr>
          </w:p>
        </w:tc>
      </w:tr>
    </w:tbl>
    <w:p w:rsidR="008930DB" w:rsidRDefault="008930DB">
      <w:pPr>
        <w:pStyle w:val="a0"/>
      </w:pPr>
    </w:p>
    <w:p w:rsidR="008930DB" w:rsidRDefault="00327F6D">
      <w:pPr>
        <w:pStyle w:val="a0"/>
        <w:spacing w:line="360" w:lineRule="auto"/>
        <w:rPr>
          <w:rFonts w:ascii="仿宋" w:eastAsia="仿宋" w:hAnsi="仿宋" w:cs="微软雅黑"/>
          <w:color w:val="000000"/>
          <w:kern w:val="0"/>
          <w:sz w:val="24"/>
        </w:rPr>
      </w:pPr>
      <w:r>
        <w:rPr>
          <w:rFonts w:ascii="仿宋" w:eastAsia="仿宋" w:hAnsi="仿宋" w:cs="微软雅黑" w:hint="eastAsia"/>
          <w:color w:val="000000"/>
          <w:kern w:val="0"/>
          <w:sz w:val="24"/>
        </w:rPr>
        <w:t>2、普适型地表裂缝和倾斜仪监测点施工安装技术要求</w:t>
      </w:r>
    </w:p>
    <w:p w:rsidR="008930DB" w:rsidRDefault="00327F6D">
      <w:pPr>
        <w:pStyle w:val="a0"/>
        <w:spacing w:line="360" w:lineRule="auto"/>
        <w:rPr>
          <w:rFonts w:ascii="仿宋" w:eastAsia="仿宋" w:hAnsi="仿宋" w:cs="微软雅黑"/>
          <w:color w:val="000000"/>
          <w:kern w:val="0"/>
          <w:sz w:val="24"/>
        </w:rPr>
      </w:pPr>
      <w:r>
        <w:rPr>
          <w:rFonts w:ascii="仿宋" w:eastAsia="仿宋" w:hAnsi="仿宋" w:cs="微软雅黑" w:hint="eastAsia"/>
          <w:color w:val="000000"/>
          <w:kern w:val="0"/>
          <w:sz w:val="24"/>
        </w:rPr>
        <w:t>（1）地裂缝和倾斜仪监测设备，采用立杆形式，立杆高度1m，立杆直径规格φ76mm×3.75mm，镀锌管，白色漆（烤漆）。基座采用C25混凝土浇筑，基座尺寸500mm×500mm×500mm，同时预埋地脚螺丝用于固定立杆；地裂缝另一侧亦采用C25混凝土浇筑，尺寸200mm×200mm×200mm。</w:t>
      </w:r>
    </w:p>
    <w:p w:rsidR="008930DB" w:rsidRDefault="00327F6D">
      <w:pPr>
        <w:pStyle w:val="a0"/>
        <w:spacing w:line="360" w:lineRule="auto"/>
        <w:rPr>
          <w:rFonts w:ascii="仿宋" w:eastAsia="仿宋" w:hAnsi="仿宋" w:cs="微软雅黑"/>
          <w:color w:val="000000"/>
          <w:kern w:val="0"/>
          <w:sz w:val="24"/>
        </w:rPr>
      </w:pPr>
      <w:r>
        <w:rPr>
          <w:rFonts w:ascii="仿宋" w:eastAsia="仿宋" w:hAnsi="仿宋" w:cs="微软雅黑" w:hint="eastAsia"/>
          <w:color w:val="000000"/>
          <w:kern w:val="0"/>
          <w:sz w:val="24"/>
        </w:rPr>
        <w:t>（2）将设备安装固定在立杆上。立杆开孔，所有线路应穿在立杆里面不外露。立杆端头因连接设备必须外露的线路，其外露总长度不大于10cm，且外露部分应做好防护。</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3129"/>
        <w:gridCol w:w="1161"/>
        <w:gridCol w:w="846"/>
        <w:gridCol w:w="2004"/>
      </w:tblGrid>
      <w:tr w:rsidR="00C515F1" w:rsidTr="00C515F1">
        <w:trPr>
          <w:trHeight w:val="23"/>
        </w:trPr>
        <w:tc>
          <w:tcPr>
            <w:tcW w:w="5000" w:type="pct"/>
            <w:gridSpan w:val="5"/>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lastRenderedPageBreak/>
              <w:t>地裂缝和倾斜仪监测设备辅材参数</w:t>
            </w:r>
          </w:p>
        </w:tc>
      </w:tr>
      <w:tr w:rsidR="00C515F1" w:rsidTr="00C515F1">
        <w:trPr>
          <w:trHeight w:val="23"/>
        </w:trPr>
        <w:tc>
          <w:tcPr>
            <w:tcW w:w="811" w:type="pct"/>
            <w:vMerge w:val="restart"/>
            <w:vAlign w:val="center"/>
          </w:tcPr>
          <w:p w:rsidR="00C515F1" w:rsidRDefault="00C515F1" w:rsidP="00C515F1">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1</w:t>
            </w:r>
          </w:p>
        </w:tc>
        <w:tc>
          <w:tcPr>
            <w:tcW w:w="4189" w:type="pct"/>
            <w:gridSpan w:val="4"/>
            <w:shd w:val="clear" w:color="auto" w:fill="auto"/>
            <w:noWrap/>
            <w:vAlign w:val="center"/>
          </w:tcPr>
          <w:p w:rsidR="00C515F1" w:rsidRPr="00C515F1" w:rsidRDefault="00C515F1">
            <w:pPr>
              <w:widowControl/>
              <w:spacing w:line="30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立杆</w:t>
            </w:r>
          </w:p>
        </w:tc>
      </w:tr>
      <w:tr w:rsidR="00C515F1" w:rsidTr="00C515F1">
        <w:trPr>
          <w:trHeight w:val="23"/>
        </w:trPr>
        <w:tc>
          <w:tcPr>
            <w:tcW w:w="811" w:type="pct"/>
            <w:vMerge/>
            <w:vAlign w:val="center"/>
          </w:tcPr>
          <w:p w:rsidR="00C515F1" w:rsidRDefault="00C515F1" w:rsidP="00C515F1">
            <w:pPr>
              <w:widowControl/>
              <w:spacing w:line="300" w:lineRule="exact"/>
              <w:jc w:val="center"/>
              <w:textAlignment w:val="center"/>
              <w:rPr>
                <w:rFonts w:ascii="仿宋" w:eastAsia="仿宋" w:hAnsi="仿宋" w:cs="仿宋"/>
                <w:color w:val="000000"/>
                <w:kern w:val="0"/>
                <w:szCs w:val="21"/>
                <w:lang w:bidi="ar"/>
              </w:rPr>
            </w:pPr>
          </w:p>
        </w:tc>
        <w:tc>
          <w:tcPr>
            <w:tcW w:w="1836"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直径（mm）×壁厚(mm)</w:t>
            </w:r>
          </w:p>
        </w:tc>
        <w:tc>
          <w:tcPr>
            <w:tcW w:w="681"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高度（m）</w:t>
            </w:r>
          </w:p>
        </w:tc>
        <w:tc>
          <w:tcPr>
            <w:tcW w:w="496"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材质</w:t>
            </w:r>
          </w:p>
        </w:tc>
        <w:tc>
          <w:tcPr>
            <w:tcW w:w="1176"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法兰</w:t>
            </w:r>
          </w:p>
        </w:tc>
      </w:tr>
      <w:tr w:rsidR="00C515F1" w:rsidTr="00C515F1">
        <w:trPr>
          <w:trHeight w:val="23"/>
        </w:trPr>
        <w:tc>
          <w:tcPr>
            <w:tcW w:w="811" w:type="pct"/>
            <w:vMerge/>
            <w:vAlign w:val="center"/>
          </w:tcPr>
          <w:p w:rsidR="00C515F1" w:rsidRDefault="00C515F1" w:rsidP="00C515F1">
            <w:pPr>
              <w:widowControl/>
              <w:spacing w:line="300" w:lineRule="exact"/>
              <w:jc w:val="center"/>
              <w:textAlignment w:val="center"/>
              <w:rPr>
                <w:rFonts w:ascii="仿宋" w:eastAsia="仿宋" w:hAnsi="仿宋" w:cs="仿宋"/>
                <w:color w:val="000000"/>
                <w:kern w:val="0"/>
                <w:szCs w:val="21"/>
                <w:lang w:bidi="ar"/>
              </w:rPr>
            </w:pPr>
          </w:p>
        </w:tc>
        <w:tc>
          <w:tcPr>
            <w:tcW w:w="1836"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75.5×3.75</w:t>
            </w:r>
          </w:p>
        </w:tc>
        <w:tc>
          <w:tcPr>
            <w:tcW w:w="681"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1</w:t>
            </w:r>
          </w:p>
        </w:tc>
        <w:tc>
          <w:tcPr>
            <w:tcW w:w="496" w:type="pct"/>
            <w:shd w:val="clear" w:color="auto" w:fill="auto"/>
            <w:noWrap/>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镀锌管</w:t>
            </w:r>
          </w:p>
        </w:tc>
        <w:tc>
          <w:tcPr>
            <w:tcW w:w="1176" w:type="pct"/>
            <w:shd w:val="clear" w:color="auto" w:fill="auto"/>
            <w:vAlign w:val="center"/>
          </w:tcPr>
          <w:p w:rsidR="00C515F1" w:rsidRDefault="00C515F1">
            <w:pPr>
              <w:widowControl/>
              <w:spacing w:line="30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25×25cm,厚5mm,斜撑高8cm，底6cm，厚4mm(三角形)</w:t>
            </w:r>
          </w:p>
        </w:tc>
      </w:tr>
      <w:tr w:rsidR="00C515F1" w:rsidTr="00C515F1">
        <w:trPr>
          <w:trHeight w:val="23"/>
        </w:trPr>
        <w:tc>
          <w:tcPr>
            <w:tcW w:w="811" w:type="pct"/>
            <w:vMerge w:val="restart"/>
            <w:vAlign w:val="center"/>
          </w:tcPr>
          <w:p w:rsidR="00C515F1" w:rsidRDefault="00C515F1" w:rsidP="00C515F1">
            <w:pPr>
              <w:widowControl/>
              <w:spacing w:line="300" w:lineRule="exact"/>
              <w:jc w:val="center"/>
              <w:textAlignment w:val="center"/>
              <w:rPr>
                <w:rFonts w:ascii="仿宋" w:eastAsia="仿宋" w:hAnsi="仿宋" w:cs="仿宋"/>
                <w:color w:val="000000"/>
                <w:kern w:val="0"/>
                <w:szCs w:val="21"/>
                <w:lang w:bidi="ar"/>
              </w:rPr>
            </w:pPr>
            <w:r>
              <w:rPr>
                <w:rFonts w:ascii="仿宋" w:eastAsia="仿宋" w:hAnsi="仿宋" w:cs="仿宋" w:hint="eastAsia"/>
                <w:color w:val="000000"/>
                <w:kern w:val="0"/>
                <w:szCs w:val="21"/>
                <w:lang w:bidi="ar"/>
              </w:rPr>
              <w:t>2</w:t>
            </w:r>
          </w:p>
        </w:tc>
        <w:tc>
          <w:tcPr>
            <w:tcW w:w="4189" w:type="pct"/>
            <w:gridSpan w:val="4"/>
            <w:shd w:val="clear" w:color="auto" w:fill="auto"/>
            <w:noWrap/>
            <w:vAlign w:val="center"/>
          </w:tcPr>
          <w:p w:rsidR="00C515F1" w:rsidRPr="00C515F1" w:rsidRDefault="00C515F1">
            <w:pPr>
              <w:widowControl/>
              <w:spacing w:line="300" w:lineRule="exact"/>
              <w:jc w:val="center"/>
              <w:textAlignment w:val="center"/>
              <w:rPr>
                <w:rFonts w:ascii="仿宋" w:eastAsia="仿宋" w:hAnsi="仿宋" w:cs="仿宋"/>
                <w:b/>
                <w:color w:val="000000"/>
                <w:szCs w:val="21"/>
              </w:rPr>
            </w:pPr>
            <w:r w:rsidRPr="00C515F1">
              <w:rPr>
                <w:rFonts w:ascii="仿宋" w:eastAsia="仿宋" w:hAnsi="仿宋" w:cs="仿宋" w:hint="eastAsia"/>
                <w:b/>
                <w:color w:val="000000"/>
                <w:kern w:val="0"/>
                <w:szCs w:val="21"/>
                <w:lang w:bidi="ar"/>
              </w:rPr>
              <w:t>基础-钢筋笼</w:t>
            </w:r>
          </w:p>
        </w:tc>
      </w:tr>
      <w:tr w:rsidR="00C515F1" w:rsidTr="00C515F1">
        <w:trPr>
          <w:trHeight w:val="23"/>
        </w:trPr>
        <w:tc>
          <w:tcPr>
            <w:tcW w:w="811" w:type="pct"/>
            <w:vMerge/>
          </w:tcPr>
          <w:p w:rsidR="00C515F1" w:rsidRDefault="00C515F1">
            <w:pPr>
              <w:widowControl/>
              <w:spacing w:line="300" w:lineRule="exact"/>
              <w:textAlignment w:val="center"/>
              <w:rPr>
                <w:rFonts w:ascii="仿宋" w:eastAsia="仿宋" w:hAnsi="仿宋" w:cs="仿宋"/>
                <w:color w:val="000000"/>
                <w:kern w:val="0"/>
                <w:szCs w:val="21"/>
                <w:lang w:bidi="ar"/>
              </w:rPr>
            </w:pPr>
          </w:p>
        </w:tc>
        <w:tc>
          <w:tcPr>
            <w:tcW w:w="1836" w:type="pct"/>
            <w:shd w:val="clear" w:color="auto" w:fill="auto"/>
            <w:vAlign w:val="center"/>
          </w:tcPr>
          <w:p w:rsidR="00C515F1" w:rsidRDefault="00C515F1">
            <w:pPr>
              <w:widowControl/>
              <w:spacing w:line="30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0.5米×0.5米×0.5米（为保证基础稳固以及拉线转折角度不过大，基础必须开挖40~45cm，地表以上5~10cm）</w:t>
            </w:r>
          </w:p>
        </w:tc>
        <w:tc>
          <w:tcPr>
            <w:tcW w:w="681" w:type="pct"/>
            <w:shd w:val="clear" w:color="auto" w:fill="auto"/>
            <w:vAlign w:val="center"/>
          </w:tcPr>
          <w:p w:rsidR="00C515F1" w:rsidRDefault="00C515F1">
            <w:pPr>
              <w:widowControl/>
              <w:spacing w:line="30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地裂缝小墩子0.2米×0.2米×0.2米</w:t>
            </w:r>
          </w:p>
        </w:tc>
        <w:tc>
          <w:tcPr>
            <w:tcW w:w="496" w:type="pct"/>
            <w:shd w:val="clear" w:color="auto" w:fill="auto"/>
            <w:vAlign w:val="center"/>
          </w:tcPr>
          <w:p w:rsidR="00C515F1" w:rsidRDefault="00C515F1">
            <w:pPr>
              <w:widowControl/>
              <w:spacing w:line="300" w:lineRule="exact"/>
              <w:jc w:val="center"/>
              <w:textAlignment w:val="center"/>
              <w:rPr>
                <w:rFonts w:ascii="仿宋" w:eastAsia="仿宋" w:hAnsi="仿宋" w:cs="仿宋"/>
                <w:color w:val="000000"/>
                <w:szCs w:val="21"/>
              </w:rPr>
            </w:pPr>
            <w:r>
              <w:rPr>
                <w:rFonts w:ascii="仿宋" w:eastAsia="仿宋" w:hAnsi="仿宋" w:cs="仿宋" w:hint="eastAsia"/>
                <w:color w:val="000000"/>
                <w:kern w:val="0"/>
                <w:szCs w:val="21"/>
                <w:lang w:bidi="ar"/>
              </w:rPr>
              <w:t>C25</w:t>
            </w:r>
          </w:p>
        </w:tc>
        <w:tc>
          <w:tcPr>
            <w:tcW w:w="1176" w:type="pct"/>
            <w:shd w:val="clear" w:color="auto" w:fill="auto"/>
            <w:vAlign w:val="center"/>
          </w:tcPr>
          <w:p w:rsidR="00C515F1" w:rsidRDefault="00C515F1">
            <w:pPr>
              <w:widowControl/>
              <w:spacing w:line="300" w:lineRule="exact"/>
              <w:textAlignment w:val="center"/>
              <w:rPr>
                <w:rFonts w:ascii="仿宋" w:eastAsia="仿宋" w:hAnsi="仿宋" w:cs="仿宋"/>
                <w:color w:val="000000"/>
                <w:szCs w:val="21"/>
              </w:rPr>
            </w:pPr>
            <w:r>
              <w:rPr>
                <w:rFonts w:ascii="仿宋" w:eastAsia="仿宋" w:hAnsi="仿宋" w:cs="仿宋" w:hint="eastAsia"/>
                <w:color w:val="000000"/>
                <w:kern w:val="0"/>
                <w:szCs w:val="21"/>
                <w:lang w:bidi="ar"/>
              </w:rPr>
              <w:t>200mm*200mm*400mm地笼深度50cm，预埋40~45cm,留长5cm,φ14mm×4</w:t>
            </w:r>
          </w:p>
        </w:tc>
      </w:tr>
    </w:tbl>
    <w:p w:rsidR="008930DB" w:rsidRDefault="008930DB">
      <w:pPr>
        <w:pStyle w:val="a0"/>
        <w:rPr>
          <w:rFonts w:ascii="仿宋" w:eastAsia="仿宋" w:hAnsi="仿宋" w:cs="微软雅黑"/>
          <w:color w:val="000000"/>
          <w:kern w:val="0"/>
          <w:sz w:val="20"/>
          <w:szCs w:val="20"/>
        </w:rPr>
      </w:pPr>
    </w:p>
    <w:p w:rsidR="008930DB" w:rsidRDefault="00327F6D">
      <w:pPr>
        <w:spacing w:line="360" w:lineRule="auto"/>
        <w:ind w:firstLineChars="200" w:firstLine="482"/>
        <w:rPr>
          <w:rFonts w:ascii="仿宋" w:eastAsia="仿宋" w:hAnsi="仿宋" w:cs="仿宋"/>
          <w:b/>
          <w:color w:val="000000"/>
          <w:sz w:val="24"/>
          <w:szCs w:val="24"/>
        </w:rPr>
      </w:pPr>
      <w:bookmarkStart w:id="0" w:name="_Toc15983"/>
      <w:bookmarkStart w:id="1" w:name="_Toc13503"/>
      <w:bookmarkStart w:id="2" w:name="_Toc4846"/>
      <w:bookmarkStart w:id="3" w:name="_Toc30450"/>
      <w:bookmarkStart w:id="4" w:name="_Toc19061"/>
      <w:bookmarkStart w:id="5" w:name="_Toc10778"/>
      <w:bookmarkStart w:id="6" w:name="_Toc6214"/>
      <w:bookmarkStart w:id="7" w:name="_Toc7526"/>
      <w:bookmarkStart w:id="8" w:name="_Toc2122"/>
      <w:bookmarkStart w:id="9" w:name="_Toc47103671"/>
      <w:r>
        <w:rPr>
          <w:rFonts w:ascii="仿宋" w:eastAsia="仿宋" w:hAnsi="仿宋" w:cs="仿宋" w:hint="eastAsia"/>
          <w:b/>
          <w:color w:val="000000"/>
          <w:sz w:val="24"/>
          <w:szCs w:val="24"/>
        </w:rPr>
        <w:t>三、质量保证及售后服务</w:t>
      </w:r>
      <w:bookmarkEnd w:id="0"/>
      <w:bookmarkEnd w:id="1"/>
      <w:bookmarkEnd w:id="2"/>
      <w:bookmarkEnd w:id="3"/>
      <w:bookmarkEnd w:id="4"/>
      <w:bookmarkEnd w:id="5"/>
      <w:bookmarkEnd w:id="6"/>
      <w:bookmarkEnd w:id="7"/>
      <w:bookmarkEnd w:id="8"/>
      <w:bookmarkEnd w:id="9"/>
    </w:p>
    <w:p w:rsidR="008930DB" w:rsidRDefault="00327F6D">
      <w:pPr>
        <w:snapToGrid w:val="0"/>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鉴于本项目时间紧、需求量大，供应商应明确承诺：按照合同要求和我院要求的时间节点提供足量且满足要求的辅材设备。</w:t>
      </w:r>
    </w:p>
    <w:p w:rsidR="008930DB" w:rsidRDefault="00327F6D">
      <w:pPr>
        <w:spacing w:line="360" w:lineRule="auto"/>
        <w:ind w:firstLineChars="200" w:firstLine="480"/>
        <w:rPr>
          <w:rFonts w:ascii="仿宋" w:eastAsia="仿宋" w:hAnsi="仿宋" w:cs="仿宋"/>
          <w:color w:val="000000"/>
          <w:sz w:val="24"/>
          <w:szCs w:val="24"/>
        </w:rPr>
      </w:pPr>
      <w:r>
        <w:rPr>
          <w:rFonts w:ascii="仿宋" w:eastAsia="仿宋" w:hAnsi="仿宋" w:cs="仿宋" w:hint="eastAsia"/>
          <w:color w:val="000000"/>
          <w:sz w:val="24"/>
          <w:szCs w:val="24"/>
        </w:rPr>
        <w:t>供应商应明确承诺：产品质保期为4年。在本项目建设期间及建设完成后，因产品本身质量引起故障，在保质期内由供应方免费维修或进行更换。</w:t>
      </w:r>
    </w:p>
    <w:p w:rsidR="008930DB" w:rsidRDefault="00327F6D">
      <w:pPr>
        <w:spacing w:line="360" w:lineRule="auto"/>
        <w:ind w:firstLineChars="200" w:firstLine="482"/>
        <w:rPr>
          <w:rFonts w:ascii="仿宋" w:eastAsia="仿宋" w:hAnsi="仿宋" w:cs="仿宋"/>
          <w:b/>
          <w:bCs/>
          <w:color w:val="000000"/>
          <w:kern w:val="0"/>
          <w:sz w:val="24"/>
          <w:szCs w:val="24"/>
        </w:rPr>
      </w:pPr>
      <w:r>
        <w:rPr>
          <w:rFonts w:ascii="仿宋" w:eastAsia="仿宋" w:hAnsi="仿宋" w:cs="仿宋" w:hint="eastAsia"/>
          <w:b/>
          <w:bCs/>
          <w:color w:val="000000"/>
          <w:kern w:val="0"/>
          <w:sz w:val="24"/>
          <w:szCs w:val="24"/>
        </w:rPr>
        <w:t>四、说明</w:t>
      </w:r>
    </w:p>
    <w:p w:rsidR="008930DB" w:rsidRDefault="00327F6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1.供应商报价须一并提供有效的营业执照并加盖公章。</w:t>
      </w:r>
    </w:p>
    <w:p w:rsidR="008930DB" w:rsidRDefault="00327F6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2.报价</w:t>
      </w:r>
      <w:r w:rsidR="00CD689B">
        <w:rPr>
          <w:rFonts w:ascii="仿宋" w:eastAsia="仿宋" w:hAnsi="仿宋" w:cs="仿宋" w:hint="eastAsia"/>
          <w:sz w:val="24"/>
          <w:szCs w:val="24"/>
        </w:rPr>
        <w:t>书</w:t>
      </w:r>
      <w:r>
        <w:rPr>
          <w:rFonts w:ascii="仿宋" w:eastAsia="仿宋" w:hAnsi="仿宋" w:cs="仿宋" w:hint="eastAsia"/>
          <w:sz w:val="24"/>
          <w:szCs w:val="24"/>
        </w:rPr>
        <w:t>须加盖报价方公章，否则无效。</w:t>
      </w:r>
    </w:p>
    <w:p w:rsidR="008930DB" w:rsidRDefault="00327F6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3.将相应报价资料扫描成电子文档发在2022年1月</w:t>
      </w:r>
      <w:r w:rsidR="00C515F1">
        <w:rPr>
          <w:rFonts w:ascii="仿宋" w:eastAsia="仿宋" w:hAnsi="仿宋" w:cs="仿宋" w:hint="eastAsia"/>
          <w:sz w:val="24"/>
          <w:szCs w:val="24"/>
        </w:rPr>
        <w:t>13</w:t>
      </w:r>
      <w:r>
        <w:rPr>
          <w:rFonts w:ascii="仿宋" w:eastAsia="仿宋" w:hAnsi="仿宋" w:cs="仿宋" w:hint="eastAsia"/>
          <w:sz w:val="24"/>
          <w:szCs w:val="24"/>
        </w:rPr>
        <w:t>日12:00前送至邮箱：</w:t>
      </w:r>
      <w:hyperlink r:id="rId8" w:history="1">
        <w:r>
          <w:rPr>
            <w:rStyle w:val="aa"/>
            <w:rFonts w:ascii="仿宋" w:eastAsia="仿宋" w:hAnsi="仿宋" w:cs="仿宋" w:hint="eastAsia"/>
            <w:sz w:val="24"/>
            <w:szCs w:val="24"/>
          </w:rPr>
          <w:t>cqdkysjjc@163.com</w:t>
        </w:r>
      </w:hyperlink>
      <w:r>
        <w:rPr>
          <w:rFonts w:ascii="仿宋" w:eastAsia="仿宋" w:hAnsi="仿宋" w:cs="仿宋" w:hint="eastAsia"/>
          <w:sz w:val="24"/>
          <w:szCs w:val="24"/>
        </w:rPr>
        <w:t>，联系人：杨</w:t>
      </w:r>
      <w:r w:rsidR="00CD689B">
        <w:rPr>
          <w:rFonts w:ascii="仿宋" w:eastAsia="仿宋" w:hAnsi="仿宋" w:cs="仿宋" w:hint="eastAsia"/>
          <w:sz w:val="24"/>
          <w:szCs w:val="24"/>
        </w:rPr>
        <w:t>老师</w:t>
      </w:r>
      <w:r>
        <w:rPr>
          <w:rFonts w:ascii="仿宋" w:eastAsia="仿宋" w:hAnsi="仿宋" w:cs="仿宋" w:hint="eastAsia"/>
          <w:sz w:val="24"/>
          <w:szCs w:val="24"/>
        </w:rPr>
        <w:t>，联系电话：81925897。</w:t>
      </w:r>
    </w:p>
    <w:p w:rsidR="008930DB" w:rsidRDefault="00327F6D">
      <w:pPr>
        <w:spacing w:line="360" w:lineRule="auto"/>
        <w:ind w:firstLineChars="200" w:firstLine="480"/>
        <w:rPr>
          <w:rFonts w:ascii="仿宋" w:eastAsia="仿宋" w:hAnsi="仿宋" w:cs="仿宋"/>
          <w:sz w:val="24"/>
          <w:szCs w:val="24"/>
        </w:rPr>
      </w:pPr>
      <w:r>
        <w:rPr>
          <w:rFonts w:ascii="仿宋" w:eastAsia="仿宋" w:hAnsi="仿宋" w:cs="仿宋" w:hint="eastAsia"/>
          <w:sz w:val="24"/>
          <w:szCs w:val="24"/>
        </w:rPr>
        <w:t>4.报价书见附件1。</w:t>
      </w:r>
    </w:p>
    <w:p w:rsidR="008930DB" w:rsidRDefault="008930DB">
      <w:pPr>
        <w:snapToGrid w:val="0"/>
        <w:spacing w:line="360" w:lineRule="auto"/>
        <w:ind w:firstLineChars="200" w:firstLine="480"/>
        <w:rPr>
          <w:rFonts w:ascii="仿宋" w:eastAsia="仿宋" w:hAnsi="仿宋" w:cs="仿宋"/>
          <w:color w:val="000000"/>
          <w:sz w:val="24"/>
          <w:szCs w:val="24"/>
        </w:rPr>
      </w:pPr>
    </w:p>
    <w:p w:rsidR="008930DB" w:rsidRDefault="008930DB">
      <w:pPr>
        <w:rPr>
          <w:rFonts w:ascii="仿宋" w:eastAsia="仿宋" w:hAnsi="仿宋"/>
          <w:sz w:val="20"/>
          <w:szCs w:val="20"/>
        </w:rPr>
      </w:pPr>
    </w:p>
    <w:p w:rsidR="008930DB" w:rsidRDefault="008930DB">
      <w:pPr>
        <w:rPr>
          <w:rFonts w:ascii="仿宋" w:eastAsia="仿宋" w:hAnsi="仿宋"/>
          <w:sz w:val="20"/>
          <w:szCs w:val="20"/>
        </w:rPr>
      </w:pPr>
    </w:p>
    <w:p w:rsidR="008930DB" w:rsidRDefault="008930DB">
      <w:pPr>
        <w:rPr>
          <w:rFonts w:ascii="仿宋" w:eastAsia="仿宋" w:hAnsi="仿宋"/>
          <w:sz w:val="20"/>
          <w:szCs w:val="20"/>
        </w:rPr>
      </w:pPr>
    </w:p>
    <w:p w:rsidR="008930DB" w:rsidRDefault="00327F6D">
      <w:pPr>
        <w:jc w:val="right"/>
        <w:rPr>
          <w:rFonts w:ascii="仿宋" w:eastAsia="仿宋" w:hAnsi="仿宋"/>
          <w:sz w:val="28"/>
          <w:szCs w:val="28"/>
        </w:rPr>
      </w:pPr>
      <w:r>
        <w:rPr>
          <w:rFonts w:ascii="仿宋" w:eastAsia="仿宋" w:hAnsi="仿宋" w:hint="eastAsia"/>
          <w:sz w:val="28"/>
          <w:szCs w:val="28"/>
        </w:rPr>
        <w:t>重庆地质矿产研究院</w:t>
      </w:r>
    </w:p>
    <w:p w:rsidR="008930DB" w:rsidRDefault="00327F6D">
      <w:pPr>
        <w:jc w:val="right"/>
        <w:rPr>
          <w:rFonts w:ascii="仿宋" w:eastAsia="仿宋" w:hAnsi="仿宋"/>
          <w:sz w:val="28"/>
          <w:szCs w:val="28"/>
        </w:rPr>
      </w:pPr>
      <w:r>
        <w:rPr>
          <w:rFonts w:ascii="仿宋" w:eastAsia="仿宋" w:hAnsi="仿宋" w:hint="eastAsia"/>
          <w:sz w:val="28"/>
          <w:szCs w:val="28"/>
        </w:rPr>
        <w:t>2022年1月</w:t>
      </w:r>
      <w:r w:rsidR="00AC434F">
        <w:rPr>
          <w:rFonts w:ascii="仿宋" w:eastAsia="仿宋" w:hAnsi="仿宋" w:hint="eastAsia"/>
          <w:sz w:val="28"/>
          <w:szCs w:val="28"/>
        </w:rPr>
        <w:t>10</w:t>
      </w:r>
      <w:r>
        <w:rPr>
          <w:rFonts w:ascii="仿宋" w:eastAsia="仿宋" w:hAnsi="仿宋" w:hint="eastAsia"/>
          <w:sz w:val="28"/>
          <w:szCs w:val="28"/>
        </w:rPr>
        <w:t>日</w:t>
      </w:r>
    </w:p>
    <w:p w:rsidR="008930DB" w:rsidRDefault="008930DB">
      <w:pPr>
        <w:rPr>
          <w:rFonts w:ascii="仿宋" w:eastAsia="仿宋" w:hAnsi="仿宋"/>
          <w:sz w:val="20"/>
          <w:szCs w:val="20"/>
        </w:rPr>
      </w:pPr>
    </w:p>
    <w:p w:rsidR="008930DB" w:rsidRDefault="008930DB">
      <w:pPr>
        <w:rPr>
          <w:rFonts w:ascii="仿宋" w:eastAsia="仿宋" w:hAnsi="仿宋"/>
          <w:sz w:val="20"/>
          <w:szCs w:val="20"/>
        </w:rPr>
      </w:pPr>
    </w:p>
    <w:p w:rsidR="00327F6D" w:rsidRDefault="00327F6D" w:rsidP="00327F6D">
      <w:pPr>
        <w:pStyle w:val="a0"/>
      </w:pPr>
    </w:p>
    <w:p w:rsidR="00327F6D" w:rsidRDefault="00327F6D" w:rsidP="00327F6D">
      <w:pPr>
        <w:pStyle w:val="a0"/>
      </w:pPr>
    </w:p>
    <w:p w:rsidR="00327F6D" w:rsidRPr="00327F6D" w:rsidRDefault="00327F6D" w:rsidP="00327F6D">
      <w:pPr>
        <w:pStyle w:val="a0"/>
      </w:pPr>
    </w:p>
    <w:p w:rsidR="008930DB" w:rsidRDefault="008930DB">
      <w:pPr>
        <w:rPr>
          <w:rFonts w:ascii="仿宋" w:eastAsia="仿宋" w:hAnsi="仿宋"/>
          <w:sz w:val="20"/>
          <w:szCs w:val="20"/>
        </w:rPr>
      </w:pPr>
      <w:bookmarkStart w:id="10" w:name="_GoBack"/>
      <w:bookmarkEnd w:id="10"/>
    </w:p>
    <w:sectPr w:rsidR="00893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33DDD"/>
    <w:multiLevelType w:val="multilevel"/>
    <w:tmpl w:val="28433DDD"/>
    <w:lvl w:ilvl="0">
      <w:start w:val="1"/>
      <w:numFmt w:val="japaneseCounting"/>
      <w:lvlText w:val="%1、"/>
      <w:lvlJc w:val="left"/>
      <w:pPr>
        <w:ind w:left="720" w:hanging="720"/>
      </w:pPr>
      <w:rPr>
        <w:rFonts w:ascii="仿宋" w:eastAsia="仿宋" w:hAnsi="仿宋" w:cstheme="minorBidi" w:hint="default"/>
        <w:b/>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FEE"/>
    <w:rsid w:val="0000704C"/>
    <w:rsid w:val="00012B29"/>
    <w:rsid w:val="0004521D"/>
    <w:rsid w:val="00051712"/>
    <w:rsid w:val="00071037"/>
    <w:rsid w:val="0007581B"/>
    <w:rsid w:val="000A3592"/>
    <w:rsid w:val="000C0907"/>
    <w:rsid w:val="000C7F61"/>
    <w:rsid w:val="000D215A"/>
    <w:rsid w:val="00107114"/>
    <w:rsid w:val="00112D21"/>
    <w:rsid w:val="001261ED"/>
    <w:rsid w:val="00130002"/>
    <w:rsid w:val="00131658"/>
    <w:rsid w:val="00132C53"/>
    <w:rsid w:val="00196061"/>
    <w:rsid w:val="001A1912"/>
    <w:rsid w:val="001B0F57"/>
    <w:rsid w:val="001D3269"/>
    <w:rsid w:val="001E2F10"/>
    <w:rsid w:val="002218F8"/>
    <w:rsid w:val="00241CFE"/>
    <w:rsid w:val="002425A9"/>
    <w:rsid w:val="00260DFB"/>
    <w:rsid w:val="002760C1"/>
    <w:rsid w:val="002A7FF8"/>
    <w:rsid w:val="002B4506"/>
    <w:rsid w:val="002B6432"/>
    <w:rsid w:val="002C130A"/>
    <w:rsid w:val="002D3355"/>
    <w:rsid w:val="002D433A"/>
    <w:rsid w:val="00322C80"/>
    <w:rsid w:val="00327F6D"/>
    <w:rsid w:val="00331B56"/>
    <w:rsid w:val="00332FEE"/>
    <w:rsid w:val="00361914"/>
    <w:rsid w:val="00373218"/>
    <w:rsid w:val="003D3D48"/>
    <w:rsid w:val="003E3DF5"/>
    <w:rsid w:val="003F0CD8"/>
    <w:rsid w:val="00415D8A"/>
    <w:rsid w:val="004171E0"/>
    <w:rsid w:val="004218F3"/>
    <w:rsid w:val="00433F4B"/>
    <w:rsid w:val="004438D7"/>
    <w:rsid w:val="00444843"/>
    <w:rsid w:val="004475B9"/>
    <w:rsid w:val="004856AC"/>
    <w:rsid w:val="004B549A"/>
    <w:rsid w:val="004B797F"/>
    <w:rsid w:val="004C3143"/>
    <w:rsid w:val="004C72DC"/>
    <w:rsid w:val="004D1B4E"/>
    <w:rsid w:val="004D67E0"/>
    <w:rsid w:val="004D7065"/>
    <w:rsid w:val="004F1F3F"/>
    <w:rsid w:val="004F63A9"/>
    <w:rsid w:val="00501477"/>
    <w:rsid w:val="00505AE0"/>
    <w:rsid w:val="00524DC8"/>
    <w:rsid w:val="00536A5A"/>
    <w:rsid w:val="00557C41"/>
    <w:rsid w:val="005639F7"/>
    <w:rsid w:val="00566C20"/>
    <w:rsid w:val="005733DE"/>
    <w:rsid w:val="00574375"/>
    <w:rsid w:val="00580755"/>
    <w:rsid w:val="00593A8F"/>
    <w:rsid w:val="005A708A"/>
    <w:rsid w:val="005E1DB4"/>
    <w:rsid w:val="005F4570"/>
    <w:rsid w:val="00641400"/>
    <w:rsid w:val="00642A18"/>
    <w:rsid w:val="00643CE5"/>
    <w:rsid w:val="00653F59"/>
    <w:rsid w:val="00672E1E"/>
    <w:rsid w:val="00690958"/>
    <w:rsid w:val="006A2BAD"/>
    <w:rsid w:val="006B7D57"/>
    <w:rsid w:val="006F3466"/>
    <w:rsid w:val="007061EB"/>
    <w:rsid w:val="0070774F"/>
    <w:rsid w:val="00711644"/>
    <w:rsid w:val="007117F9"/>
    <w:rsid w:val="00721545"/>
    <w:rsid w:val="00724019"/>
    <w:rsid w:val="00730BF2"/>
    <w:rsid w:val="00757424"/>
    <w:rsid w:val="007A2B24"/>
    <w:rsid w:val="007B1B97"/>
    <w:rsid w:val="007D653F"/>
    <w:rsid w:val="007E5A48"/>
    <w:rsid w:val="007F7AE2"/>
    <w:rsid w:val="007F7DB8"/>
    <w:rsid w:val="00836B95"/>
    <w:rsid w:val="00844D92"/>
    <w:rsid w:val="00853DF0"/>
    <w:rsid w:val="00871218"/>
    <w:rsid w:val="00874CF7"/>
    <w:rsid w:val="008930DB"/>
    <w:rsid w:val="008A7497"/>
    <w:rsid w:val="008B5065"/>
    <w:rsid w:val="008B71CF"/>
    <w:rsid w:val="008E0607"/>
    <w:rsid w:val="008F43CC"/>
    <w:rsid w:val="008F706F"/>
    <w:rsid w:val="0091131A"/>
    <w:rsid w:val="00927F25"/>
    <w:rsid w:val="00941518"/>
    <w:rsid w:val="0094219D"/>
    <w:rsid w:val="00942245"/>
    <w:rsid w:val="0094382B"/>
    <w:rsid w:val="00952C6D"/>
    <w:rsid w:val="009802C0"/>
    <w:rsid w:val="00994CBE"/>
    <w:rsid w:val="009B66EF"/>
    <w:rsid w:val="009E28B3"/>
    <w:rsid w:val="00A15CD3"/>
    <w:rsid w:val="00A31C5F"/>
    <w:rsid w:val="00A6741C"/>
    <w:rsid w:val="00A765BC"/>
    <w:rsid w:val="00AA1137"/>
    <w:rsid w:val="00AC434F"/>
    <w:rsid w:val="00AD0249"/>
    <w:rsid w:val="00AF1C41"/>
    <w:rsid w:val="00B02BE4"/>
    <w:rsid w:val="00B20525"/>
    <w:rsid w:val="00B5073D"/>
    <w:rsid w:val="00B56D73"/>
    <w:rsid w:val="00B65090"/>
    <w:rsid w:val="00B75979"/>
    <w:rsid w:val="00B75E1D"/>
    <w:rsid w:val="00B768A1"/>
    <w:rsid w:val="00B8268C"/>
    <w:rsid w:val="00B954BB"/>
    <w:rsid w:val="00B970ED"/>
    <w:rsid w:val="00BD28D3"/>
    <w:rsid w:val="00BE0414"/>
    <w:rsid w:val="00BE0C00"/>
    <w:rsid w:val="00BF1FC4"/>
    <w:rsid w:val="00BF3BD5"/>
    <w:rsid w:val="00BF42B0"/>
    <w:rsid w:val="00BF56D8"/>
    <w:rsid w:val="00C01730"/>
    <w:rsid w:val="00C047B3"/>
    <w:rsid w:val="00C05ED1"/>
    <w:rsid w:val="00C07D3B"/>
    <w:rsid w:val="00C1222E"/>
    <w:rsid w:val="00C17DFC"/>
    <w:rsid w:val="00C416A3"/>
    <w:rsid w:val="00C50D71"/>
    <w:rsid w:val="00C515F1"/>
    <w:rsid w:val="00C533E5"/>
    <w:rsid w:val="00C53B81"/>
    <w:rsid w:val="00C77039"/>
    <w:rsid w:val="00C81DE9"/>
    <w:rsid w:val="00C84AEA"/>
    <w:rsid w:val="00C9796A"/>
    <w:rsid w:val="00CA2C6D"/>
    <w:rsid w:val="00CD689B"/>
    <w:rsid w:val="00CE3468"/>
    <w:rsid w:val="00D073C5"/>
    <w:rsid w:val="00D138DA"/>
    <w:rsid w:val="00D16BB2"/>
    <w:rsid w:val="00D22137"/>
    <w:rsid w:val="00D74332"/>
    <w:rsid w:val="00D82108"/>
    <w:rsid w:val="00D9147D"/>
    <w:rsid w:val="00D97FEF"/>
    <w:rsid w:val="00DA0177"/>
    <w:rsid w:val="00DA08BB"/>
    <w:rsid w:val="00DD55B5"/>
    <w:rsid w:val="00DE04EF"/>
    <w:rsid w:val="00E02C72"/>
    <w:rsid w:val="00E158A7"/>
    <w:rsid w:val="00E1741E"/>
    <w:rsid w:val="00E20739"/>
    <w:rsid w:val="00E2762E"/>
    <w:rsid w:val="00E343AF"/>
    <w:rsid w:val="00E428E3"/>
    <w:rsid w:val="00E43F50"/>
    <w:rsid w:val="00E45047"/>
    <w:rsid w:val="00E543C1"/>
    <w:rsid w:val="00E555E2"/>
    <w:rsid w:val="00E56327"/>
    <w:rsid w:val="00E56836"/>
    <w:rsid w:val="00E57422"/>
    <w:rsid w:val="00E65BB3"/>
    <w:rsid w:val="00E81E0D"/>
    <w:rsid w:val="00E86781"/>
    <w:rsid w:val="00E94352"/>
    <w:rsid w:val="00EA456A"/>
    <w:rsid w:val="00EA4B48"/>
    <w:rsid w:val="00EB477F"/>
    <w:rsid w:val="00EB77C9"/>
    <w:rsid w:val="00EC47E1"/>
    <w:rsid w:val="00EC5EBD"/>
    <w:rsid w:val="00ED10C8"/>
    <w:rsid w:val="00ED3860"/>
    <w:rsid w:val="00EF4372"/>
    <w:rsid w:val="00F01369"/>
    <w:rsid w:val="00F0373D"/>
    <w:rsid w:val="00F30943"/>
    <w:rsid w:val="00F407D9"/>
    <w:rsid w:val="00F51029"/>
    <w:rsid w:val="00F55AC3"/>
    <w:rsid w:val="00F63EEA"/>
    <w:rsid w:val="00F866CA"/>
    <w:rsid w:val="00F94AF4"/>
    <w:rsid w:val="00FB6D42"/>
    <w:rsid w:val="00FC19CC"/>
    <w:rsid w:val="00FC4DB1"/>
    <w:rsid w:val="00FE0432"/>
    <w:rsid w:val="00FE1956"/>
    <w:rsid w:val="00FE4A62"/>
    <w:rsid w:val="043966BE"/>
    <w:rsid w:val="05CD1ECD"/>
    <w:rsid w:val="06732DD2"/>
    <w:rsid w:val="097E5D15"/>
    <w:rsid w:val="098007E2"/>
    <w:rsid w:val="0A0A1357"/>
    <w:rsid w:val="14810640"/>
    <w:rsid w:val="171B4A69"/>
    <w:rsid w:val="182F6853"/>
    <w:rsid w:val="1A4F6BAC"/>
    <w:rsid w:val="1A5B4D87"/>
    <w:rsid w:val="203B0065"/>
    <w:rsid w:val="226C6BFB"/>
    <w:rsid w:val="273870AC"/>
    <w:rsid w:val="27DA63B5"/>
    <w:rsid w:val="29F2651B"/>
    <w:rsid w:val="2A47094D"/>
    <w:rsid w:val="2C956D4E"/>
    <w:rsid w:val="2CF14A73"/>
    <w:rsid w:val="342B5D7A"/>
    <w:rsid w:val="373C0941"/>
    <w:rsid w:val="37927DAB"/>
    <w:rsid w:val="3D5F637E"/>
    <w:rsid w:val="4081206F"/>
    <w:rsid w:val="40DE3E3E"/>
    <w:rsid w:val="462211FB"/>
    <w:rsid w:val="4A5226CD"/>
    <w:rsid w:val="50200547"/>
    <w:rsid w:val="546039FE"/>
    <w:rsid w:val="58D00680"/>
    <w:rsid w:val="5B5163B3"/>
    <w:rsid w:val="5E755BDB"/>
    <w:rsid w:val="63B23767"/>
    <w:rsid w:val="64B60071"/>
    <w:rsid w:val="664D339F"/>
    <w:rsid w:val="6842639B"/>
    <w:rsid w:val="68600890"/>
    <w:rsid w:val="6C3267F7"/>
    <w:rsid w:val="6D082649"/>
    <w:rsid w:val="71FC1D22"/>
    <w:rsid w:val="74F30629"/>
    <w:rsid w:val="756845CD"/>
    <w:rsid w:val="7A933E62"/>
    <w:rsid w:val="7BC74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4"/>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Pr>
      <w:b/>
      <w:bCs/>
    </w:rPr>
  </w:style>
  <w:style w:type="character" w:styleId="aa">
    <w:name w:val="Hyperlink"/>
    <w:basedOn w:val="a1"/>
    <w:uiPriority w:val="99"/>
    <w:unhideWhenUsed/>
    <w:qFormat/>
    <w:rPr>
      <w:color w:val="0000FF" w:themeColor="hyperlink"/>
      <w:u w:val="single"/>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Char">
    <w:name w:val="标题 3 Char"/>
    <w:basedOn w:val="a1"/>
    <w:link w:val="3"/>
    <w:uiPriority w:val="9"/>
    <w:qFormat/>
    <w:rPr>
      <w:rFonts w:ascii="宋体" w:eastAsia="宋体" w:hAnsi="宋体" w:cs="宋体"/>
      <w:b/>
      <w:bCs/>
      <w:kern w:val="0"/>
      <w:sz w:val="27"/>
      <w:szCs w:val="27"/>
    </w:rPr>
  </w:style>
  <w:style w:type="character" w:customStyle="1" w:styleId="Char">
    <w:name w:val="日期 Char"/>
    <w:basedOn w:val="a1"/>
    <w:link w:val="a4"/>
    <w:uiPriority w:val="99"/>
    <w:semiHidden/>
    <w:qFormat/>
  </w:style>
  <w:style w:type="character" w:customStyle="1" w:styleId="Char0">
    <w:name w:val="批注框文本 Char"/>
    <w:basedOn w:val="a1"/>
    <w:link w:val="a5"/>
    <w:uiPriority w:val="99"/>
    <w:semiHidden/>
    <w:qFormat/>
    <w:rPr>
      <w:sz w:val="18"/>
      <w:szCs w:val="18"/>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4"/>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uiPriority w:val="22"/>
    <w:qFormat/>
    <w:rPr>
      <w:b/>
      <w:bCs/>
    </w:rPr>
  </w:style>
  <w:style w:type="character" w:styleId="aa">
    <w:name w:val="Hyperlink"/>
    <w:basedOn w:val="a1"/>
    <w:uiPriority w:val="99"/>
    <w:unhideWhenUsed/>
    <w:qFormat/>
    <w:rPr>
      <w:color w:val="0000FF" w:themeColor="hyperlink"/>
      <w:u w:val="single"/>
    </w:rPr>
  </w:style>
  <w:style w:type="character" w:customStyle="1" w:styleId="Char2">
    <w:name w:val="页眉 Char"/>
    <w:basedOn w:val="a1"/>
    <w:link w:val="a7"/>
    <w:uiPriority w:val="99"/>
    <w:qFormat/>
    <w:rPr>
      <w:sz w:val="18"/>
      <w:szCs w:val="18"/>
    </w:rPr>
  </w:style>
  <w:style w:type="character" w:customStyle="1" w:styleId="Char1">
    <w:name w:val="页脚 Char"/>
    <w:basedOn w:val="a1"/>
    <w:link w:val="a6"/>
    <w:uiPriority w:val="99"/>
    <w:qFormat/>
    <w:rPr>
      <w:sz w:val="18"/>
      <w:szCs w:val="18"/>
    </w:rPr>
  </w:style>
  <w:style w:type="paragraph" w:styleId="ab">
    <w:name w:val="List Paragraph"/>
    <w:basedOn w:val="a"/>
    <w:uiPriority w:val="34"/>
    <w:qFormat/>
    <w:pPr>
      <w:ind w:firstLineChars="200" w:firstLine="420"/>
    </w:pPr>
  </w:style>
  <w:style w:type="character" w:customStyle="1" w:styleId="3Char">
    <w:name w:val="标题 3 Char"/>
    <w:basedOn w:val="a1"/>
    <w:link w:val="3"/>
    <w:uiPriority w:val="9"/>
    <w:qFormat/>
    <w:rPr>
      <w:rFonts w:ascii="宋体" w:eastAsia="宋体" w:hAnsi="宋体" w:cs="宋体"/>
      <w:b/>
      <w:bCs/>
      <w:kern w:val="0"/>
      <w:sz w:val="27"/>
      <w:szCs w:val="27"/>
    </w:rPr>
  </w:style>
  <w:style w:type="character" w:customStyle="1" w:styleId="Char">
    <w:name w:val="日期 Char"/>
    <w:basedOn w:val="a1"/>
    <w:link w:val="a4"/>
    <w:uiPriority w:val="99"/>
    <w:semiHidden/>
    <w:qFormat/>
  </w:style>
  <w:style w:type="character" w:customStyle="1" w:styleId="Char0">
    <w:name w:val="批注框文本 Char"/>
    <w:basedOn w:val="a1"/>
    <w:link w:val="a5"/>
    <w:uiPriority w:val="99"/>
    <w:semiHidden/>
    <w:qFormat/>
    <w:rPr>
      <w:sz w:val="18"/>
      <w:szCs w:val="18"/>
    </w:rPr>
  </w:style>
  <w:style w:type="character" w:customStyle="1" w:styleId="UnresolvedMention">
    <w:name w:val="Unresolved Mention"/>
    <w:basedOn w:val="a1"/>
    <w:uiPriority w:val="99"/>
    <w:semiHidden/>
    <w:unhideWhenUsed/>
    <w:qFormat/>
    <w:rPr>
      <w:color w:val="605E5C"/>
      <w:shd w:val="clear" w:color="auto" w:fill="E1DFDD"/>
    </w:rPr>
  </w:style>
  <w:style w:type="character" w:customStyle="1" w:styleId="2Char">
    <w:name w:val="标题 2 Char"/>
    <w:basedOn w:val="a1"/>
    <w:link w:val="2"/>
    <w:uiPriority w:val="9"/>
    <w:semiHidden/>
    <w:qFormat/>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qdkysjjc@163.com"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11B230-FD7C-47F0-8B62-1A2522E97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320</Words>
  <Characters>1826</Characters>
  <Application>Microsoft Office Word</Application>
  <DocSecurity>0</DocSecurity>
  <Lines>15</Lines>
  <Paragraphs>4</Paragraphs>
  <ScaleCrop>false</ScaleCrop>
  <Company>Sky123.Org</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ranzhu</dc:creator>
  <cp:lastModifiedBy>张明（采购）</cp:lastModifiedBy>
  <cp:revision>36</cp:revision>
  <cp:lastPrinted>2020-12-17T08:03:00Z</cp:lastPrinted>
  <dcterms:created xsi:type="dcterms:W3CDTF">2021-03-18T07:23:00Z</dcterms:created>
  <dcterms:modified xsi:type="dcterms:W3CDTF">2022-01-10T03:13:00Z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265D44B3711C47838D492F4E277EAAEF</vt:lpwstr>
  </property>
</Properties>
</file>